
<file path=[Content_Types].xml><?xml version="1.0" encoding="utf-8"?>
<Types xmlns="http://schemas.openxmlformats.org/package/2006/content-types"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1FED5FC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spacing w:after="0" w:beforeAutospacing="0" w:afterAutospacing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Муниципальное бюджетное образовательное учреждение</w:t>
      </w:r>
    </w:p>
    <w:p>
      <w:pPr>
        <w:spacing w:after="0" w:beforeAutospacing="0" w:afterAutospacing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Детский сад «Ромашка» села Тоора-Хем</w:t>
      </w: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spacing w:after="0" w:beforeAutospacing="0" w:afterAutospacing="0"/>
        <w:jc w:val="center"/>
        <w:rPr>
          <w:rFonts w:ascii="Times New Roman" w:hAnsi="Times New Roman"/>
          <w:b w:val="1"/>
          <w:sz w:val="40"/>
        </w:rPr>
      </w:pPr>
      <w:r>
        <w:rPr>
          <w:rFonts w:ascii="Times New Roman" w:hAnsi="Times New Roman"/>
          <w:b w:val="1"/>
          <w:sz w:val="40"/>
        </w:rPr>
        <w:t>Отчет</w:t>
      </w:r>
    </w:p>
    <w:p>
      <w:pPr>
        <w:spacing w:after="0" w:beforeAutospacing="0" w:afterAutospacing="0"/>
        <w:jc w:val="center"/>
        <w:rPr>
          <w:rFonts w:ascii="Times New Roman" w:hAnsi="Times New Roman"/>
          <w:sz w:val="40"/>
        </w:rPr>
      </w:pPr>
      <w:r>
        <w:rPr>
          <w:rFonts w:ascii="Times New Roman" w:hAnsi="Times New Roman"/>
          <w:sz w:val="40"/>
        </w:rPr>
        <w:t>о проделанной работе за первое полугодие</w:t>
      </w:r>
    </w:p>
    <w:p>
      <w:pPr>
        <w:spacing w:after="0" w:beforeAutospacing="0" w:afterAutospacing="0"/>
        <w:jc w:val="center"/>
        <w:rPr>
          <w:rFonts w:ascii="Times New Roman" w:hAnsi="Times New Roman"/>
          <w:sz w:val="40"/>
        </w:rPr>
      </w:pPr>
      <w:r>
        <w:rPr>
          <w:rFonts w:ascii="Times New Roman" w:hAnsi="Times New Roman"/>
          <w:sz w:val="40"/>
        </w:rPr>
        <w:t>2023-2024 учебного года</w:t>
      </w:r>
    </w:p>
    <w:p>
      <w:pPr>
        <w:tabs>
          <w:tab w:val="left" w:pos="7658" w:leader="none"/>
        </w:tabs>
        <w:spacing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</w:p>
    <w:p>
      <w:pPr>
        <w:tabs>
          <w:tab w:val="left" w:pos="7658" w:leader="none"/>
        </w:tabs>
        <w:spacing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tabs>
          <w:tab w:val="left" w:pos="7658" w:leader="none"/>
        </w:tabs>
        <w:spacing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tabs>
          <w:tab w:val="left" w:pos="7658" w:leader="none"/>
        </w:tabs>
        <w:spacing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tabs>
          <w:tab w:val="left" w:pos="7658" w:leader="none"/>
        </w:tabs>
        <w:spacing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tabs>
          <w:tab w:val="left" w:pos="7658" w:leader="none"/>
        </w:tabs>
        <w:spacing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tabs>
          <w:tab w:val="left" w:pos="7658" w:leader="none"/>
        </w:tabs>
        <w:spacing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tabs>
          <w:tab w:val="left" w:pos="7658" w:leader="none"/>
        </w:tabs>
        <w:spacing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tabs>
          <w:tab w:val="left" w:pos="7658" w:leader="none"/>
        </w:tabs>
        <w:spacing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tabs>
          <w:tab w:val="left" w:pos="7658" w:leader="none"/>
        </w:tabs>
        <w:spacing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tabs>
          <w:tab w:val="left" w:pos="7658" w:leader="none"/>
        </w:tabs>
        <w:spacing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tabs>
          <w:tab w:val="left" w:pos="7658" w:leader="none"/>
        </w:tabs>
        <w:spacing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tabs>
          <w:tab w:val="left" w:pos="7658" w:leader="none"/>
        </w:tabs>
        <w:spacing w:after="0" w:beforeAutospacing="0" w:afterAutospacing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Воспитатели: Бараан Ч.А.</w:t>
      </w:r>
    </w:p>
    <w:p>
      <w:pPr>
        <w:tabs>
          <w:tab w:val="left" w:pos="7658" w:leader="none"/>
        </w:tabs>
        <w:spacing w:after="0" w:beforeAutospacing="0" w:afterAutospacing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Харлыкпан А.В.</w:t>
      </w:r>
    </w:p>
    <w:p>
      <w:pPr>
        <w:tabs>
          <w:tab w:val="left" w:pos="7658" w:leader="none"/>
        </w:tabs>
        <w:spacing w:after="0" w:beforeAutospacing="0" w:afterAutospacing="0"/>
        <w:jc w:val="right"/>
        <w:rPr>
          <w:rFonts w:ascii="Times New Roman" w:hAnsi="Times New Roman"/>
          <w:sz w:val="28"/>
        </w:rPr>
      </w:pPr>
    </w:p>
    <w:p>
      <w:pPr>
        <w:tabs>
          <w:tab w:val="left" w:pos="7658" w:leader="none"/>
        </w:tabs>
        <w:spacing w:after="0" w:beforeAutospacing="0" w:afterAutospacing="0"/>
        <w:jc w:val="right"/>
        <w:rPr>
          <w:rFonts w:ascii="Times New Roman" w:hAnsi="Times New Roman"/>
          <w:sz w:val="28"/>
        </w:rPr>
      </w:pPr>
    </w:p>
    <w:p>
      <w:pPr>
        <w:tabs>
          <w:tab w:val="left" w:pos="7658" w:leader="none"/>
        </w:tabs>
        <w:spacing w:after="0" w:beforeAutospacing="0" w:afterAutospacing="0"/>
        <w:jc w:val="right"/>
        <w:rPr>
          <w:rFonts w:ascii="Times New Roman" w:hAnsi="Times New Roman"/>
          <w:sz w:val="28"/>
        </w:rPr>
      </w:pPr>
    </w:p>
    <w:p>
      <w:pPr>
        <w:tabs>
          <w:tab w:val="left" w:pos="7658" w:leader="none"/>
        </w:tabs>
        <w:spacing w:after="0" w:beforeAutospacing="0" w:afterAutospacing="0"/>
        <w:jc w:val="right"/>
        <w:rPr>
          <w:rFonts w:ascii="Times New Roman" w:hAnsi="Times New Roman"/>
          <w:sz w:val="28"/>
        </w:rPr>
      </w:pPr>
    </w:p>
    <w:p>
      <w:pPr>
        <w:tabs>
          <w:tab w:val="left" w:pos="7658" w:leader="none"/>
        </w:tabs>
        <w:spacing w:after="0" w:beforeAutospacing="0" w:afterAutospacing="0"/>
        <w:jc w:val="right"/>
        <w:rPr>
          <w:rFonts w:ascii="Times New Roman" w:hAnsi="Times New Roman"/>
          <w:sz w:val="28"/>
        </w:rPr>
      </w:pPr>
    </w:p>
    <w:p>
      <w:pPr>
        <w:tabs>
          <w:tab w:val="left" w:pos="7658" w:leader="none"/>
        </w:tabs>
        <w:spacing w:after="0" w:beforeAutospacing="0" w:afterAutospacing="0"/>
        <w:jc w:val="right"/>
        <w:rPr>
          <w:rFonts w:ascii="Times New Roman" w:hAnsi="Times New Roman"/>
          <w:sz w:val="28"/>
        </w:rPr>
      </w:pPr>
    </w:p>
    <w:p>
      <w:pPr>
        <w:tabs>
          <w:tab w:val="left" w:pos="7658" w:leader="none"/>
        </w:tabs>
        <w:spacing w:after="0" w:beforeAutospacing="0" w:afterAutospacing="0"/>
        <w:jc w:val="right"/>
        <w:rPr>
          <w:rFonts w:ascii="Times New Roman" w:hAnsi="Times New Roman"/>
          <w:sz w:val="28"/>
        </w:rPr>
      </w:pPr>
    </w:p>
    <w:p>
      <w:pPr>
        <w:tabs>
          <w:tab w:val="left" w:pos="7658" w:leader="none"/>
        </w:tabs>
        <w:spacing w:after="0" w:beforeAutospacing="0" w:afterAutospacing="0"/>
        <w:jc w:val="right"/>
        <w:rPr>
          <w:rFonts w:ascii="Times New Roman" w:hAnsi="Times New Roman"/>
          <w:sz w:val="28"/>
        </w:rPr>
      </w:pPr>
    </w:p>
    <w:p>
      <w:pPr>
        <w:tabs>
          <w:tab w:val="left" w:pos="7658" w:leader="none"/>
        </w:tabs>
        <w:spacing w:after="0" w:beforeAutospacing="0" w:afterAutospacing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Тоора-Хем 2023г.               </w:t>
      </w: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На декабрь месяц 2023 года списочный состав группы составляет 21 детей из них 12 девочек и 9 мальчиков, 1 ребёнок имеет статус – инвалид.  Все дети регулярно посещают детский сад. Воспитатели старшей разновозрастной группы Бараан Ч.А. – курсов повышения квалификации в 2023-2024 учебном году не проходила, Харлыкпан А.В. </w:t>
      </w:r>
      <w:bookmarkStart w:id="0" w:name="_GoBack"/>
      <w:bookmarkEnd w:id="0"/>
      <w:r>
        <w:rPr>
          <w:rFonts w:ascii="Times New Roman" w:hAnsi="Times New Roman"/>
          <w:sz w:val="28"/>
        </w:rPr>
        <w:t>- курсов повышения квалификации в 2023-2024 году не проход</w:t>
      </w:r>
      <w:r>
        <w:rPr>
          <w:rFonts w:ascii="Times New Roman" w:hAnsi="Times New Roman"/>
          <w:sz w:val="28"/>
        </w:rPr>
        <w:t>ила.</w:t>
      </w: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</w:p>
    <w:p>
      <w:pPr>
        <w:spacing w:after="0" w:beforeAutospacing="0" w:afterAutospacing="0"/>
        <w:jc w:val="both"/>
      </w:pPr>
      <w:r>
        <w:rPr>
          <w:rFonts w:ascii="Times New Roman" w:hAnsi="Times New Roman"/>
          <w:sz w:val="28"/>
        </w:rPr>
        <w:tab/>
      </w:r>
      <w:bookmarkStart w:id="1" w:name="_dx_frag_StartFragment"/>
      <w:bookmarkEnd w:id="1"/>
      <w:r>
        <w:rPr>
          <w:rFonts w:ascii="Times New Roman" w:hAnsi="Times New Roman"/>
          <w:color w:val="000000"/>
          <w:sz w:val="28"/>
          <w:shd w:val="clear" w:fill="FFFFFF"/>
        </w:rPr>
        <w:t>Воспитательно-образовательная работа в группе строится на основе создания специальной предметно-развивающей среды, перспективного и календарного планирования в соответствии с годовыми задачами детского сада.  Мы работали по основной общеобразовательной программе дошкольного образования, которая отвечает требованиям ФОП ДО, «От рождения до школы» - Примерная общеобразовательная программа дошкольного образования под редакцией Н. Е. Вераксы, Т. С. Комаровой, М. А. Васильевой</w:t>
      </w:r>
      <w:r>
        <w:t>.</w:t>
      </w: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  <w:r>
        <w:tab/>
      </w:r>
      <w:r>
        <w:rPr>
          <w:rFonts w:ascii="Times New Roman" w:hAnsi="Times New Roman"/>
          <w:sz w:val="28"/>
        </w:rPr>
        <w:t xml:space="preserve">Основными приоритетными направлениями группы общеразвивающей направленности от 4 до 6 лет являются: </w:t>
      </w: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физкультурно-оздоровительное ;</w:t>
      </w: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социально-коммуникативное развитие; </w:t>
      </w: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 познавательное развитие; </w:t>
      </w: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речевое развитие; </w:t>
      </w:r>
    </w:p>
    <w:p>
      <w:pPr>
        <w:spacing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художественно-эстетическое развитие:</w:t>
      </w:r>
    </w:p>
    <w:p>
      <w:pPr>
        <w:spacing w:after="0" w:beforeAutospacing="0" w:afterAutospacing="0"/>
        <w:ind w:firstLine="708"/>
        <w:jc w:val="both"/>
        <w:rPr>
          <w:rFonts w:ascii="Times New Roman" w:hAnsi="Times New Roman"/>
          <w:sz w:val="28"/>
        </w:rPr>
      </w:pPr>
    </w:p>
    <w:p>
      <w:pPr>
        <w:spacing w:after="0" w:beforeAutospacing="0" w:afterAutospacing="0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Работа ведется в соответствии с  перспективным и календарным планированием на 2023/2024 учебный год. </w:t>
      </w:r>
    </w:p>
    <w:p>
      <w:pPr>
        <w:tabs>
          <w:tab w:val="left" w:pos="709" w:leader="none"/>
        </w:tabs>
        <w:spacing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Работа в группе ведется в тесном взаимодействии с учителем - логопедом, инструктором по физическому воспитанию, музыкальным руководителем. Именно такая комплексная работа позволяет  сделать нашу работу более эффективной. </w:t>
      </w:r>
    </w:p>
    <w:p>
      <w:pPr>
        <w:tabs>
          <w:tab w:val="left" w:pos="709" w:leader="none"/>
        </w:tabs>
        <w:spacing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>В группе созданы комфортные условия для работы с детьми. В группе имеются такие игровые зоны, как: уголок ПДД, спортивный уголок, уголок природы, уголок пожарной безопасности, уголок творчества.</w:t>
      </w:r>
    </w:p>
    <w:p>
      <w:pPr>
        <w:tabs>
          <w:tab w:val="left" w:pos="709" w:leader="none"/>
        </w:tabs>
        <w:spacing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 xml:space="preserve">В учебной зоне собран материал по всем разделам программы. По развитию речи имеются иллюстрации по темам «Времена года», «Овощи и фрукты», «Птицы», сборники рассказов и стихов. По изобразительной деятельности имеются наборы красок, карандашей, цветной бумаги и т.д. По ФЭМП имеются цифры, геометрические фигуры, счетный материал, раздаточный материал. </w:t>
      </w:r>
    </w:p>
    <w:p>
      <w:pPr>
        <w:tabs>
          <w:tab w:val="left" w:pos="709" w:leader="none"/>
          <w:tab w:val="left" w:pos="993" w:leader="none"/>
        </w:tabs>
        <w:spacing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В течение первого полугодия в работе с детьми  мы использовали современные педагогические технологии:  здоровьесберегающие, игровые технологии, а также ИКТ. </w:t>
      </w:r>
      <w:r>
        <w:rPr>
          <w:rFonts w:ascii="Times New Roman" w:hAnsi="Times New Roman"/>
          <w:color w:val="000000"/>
          <w:sz w:val="28"/>
        </w:rPr>
        <w:t xml:space="preserve">Использование  видеопрезентаций  в нашей работе с детьми позволяет сделать занятия более насыщенными и интересными. Это не только  просмотр материала по теме, но и дидактические игры. </w:t>
      </w:r>
      <w:r>
        <w:rPr>
          <w:rFonts w:ascii="Times New Roman" w:hAnsi="Times New Roman"/>
          <w:sz w:val="28"/>
        </w:rPr>
        <w:t xml:space="preserve">                       </w:t>
      </w:r>
    </w:p>
    <w:p>
      <w:pPr>
        <w:tabs>
          <w:tab w:val="left" w:pos="993" w:leader="none"/>
        </w:tabs>
        <w:spacing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Проводились беседы – ситуации на темы о режиме дня, здоровой пище, правилах поведения на улице и в помещении. Ежедневно проводится утренняя зарядка, гимнастика после сна, ходьба по массажному ковру, подвижные игры в помещении и на прогулках. </w:t>
      </w:r>
    </w:p>
    <w:p>
      <w:pPr>
        <w:tabs>
          <w:tab w:val="left" w:pos="993" w:leader="none"/>
        </w:tabs>
        <w:spacing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 xml:space="preserve">В нашей группе функционирует 2 кружка дополнительного образования: </w:t>
      </w:r>
    </w:p>
    <w:p>
      <w:pPr>
        <w:pStyle w:val="P1"/>
        <w:numPr>
          <w:ilvl w:val="0"/>
          <w:numId w:val="2"/>
        </w:numPr>
        <w:tabs>
          <w:tab w:val="left" w:pos="993" w:leader="none"/>
        </w:tabs>
        <w:jc w:val="both"/>
        <w:rPr>
          <w:sz w:val="28"/>
        </w:rPr>
      </w:pPr>
      <w:r>
        <w:rPr>
          <w:sz w:val="28"/>
        </w:rPr>
        <w:t xml:space="preserve">Кружок «Мы – дети природы» эколого-биологической направленности, проводит воспитатель Бараан Ч.А. </w:t>
      </w:r>
    </w:p>
    <w:p>
      <w:pPr>
        <w:pStyle w:val="P1"/>
        <w:numPr>
          <w:ilvl w:val="0"/>
          <w:numId w:val="2"/>
        </w:numPr>
        <w:tabs>
          <w:tab w:val="left" w:pos="993" w:leader="none"/>
        </w:tabs>
        <w:jc w:val="both"/>
        <w:rPr>
          <w:sz w:val="28"/>
        </w:rPr>
      </w:pPr>
      <w:r>
        <w:rPr>
          <w:sz w:val="28"/>
        </w:rPr>
        <w:t xml:space="preserve">Кружок «Добрый мир» духовно-нравственное развитие детей, проводит воспитатель Харлыкпан А.В. </w:t>
      </w:r>
    </w:p>
    <w:p>
      <w:pPr>
        <w:tabs>
          <w:tab w:val="left" w:pos="993" w:leader="none"/>
        </w:tabs>
        <w:spacing w:after="0" w:beforeAutospacing="0" w:afterAutospacing="0"/>
        <w:jc w:val="both"/>
        <w:rPr>
          <w:rFonts w:ascii="Times New Roman" w:hAnsi="Times New Roman"/>
          <w:i w:val="1"/>
          <w:color w:val="000000"/>
          <w:sz w:val="28"/>
        </w:rPr>
      </w:pPr>
      <w:r>
        <w:rPr>
          <w:rFonts w:ascii="Times New Roman" w:hAnsi="Times New Roman"/>
          <w:sz w:val="28"/>
        </w:rPr>
        <w:tab/>
        <w:t xml:space="preserve">В течение первой полугодии проводилась работа по взаимодействию с родителями. Составлен перспективный план, в котором указаны совместные мероприятие, консультации, беседы. </w:t>
      </w:r>
    </w:p>
    <w:p>
      <w:pPr>
        <w:tabs>
          <w:tab w:val="left" w:pos="993" w:leader="none"/>
        </w:tabs>
        <w:spacing w:after="0" w:beforeAutospacing="0" w:afterAutospacing="0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Проведено два родительских собрания на темы: «Начало учебного года - начало нового этапа в жизни детского сада и воспитанников старшей группы» - 22.09.2023. «Предновогодние хлопоты» - 15.12.2023. Консультации: «Речевой этикет дошкольников»,</w:t>
      </w:r>
      <w:r>
        <w:rPr>
          <w:rStyle w:val="C4"/>
          <w:rFonts w:ascii="Times New Roman" w:hAnsi="Times New Roman"/>
          <w:color w:val="000000"/>
          <w:sz w:val="28"/>
        </w:rPr>
        <w:t xml:space="preserve"> «Чем и как занять ребенка дома»,</w:t>
      </w:r>
      <w:r>
        <w:rPr>
          <w:rFonts w:ascii="Times New Roman" w:hAnsi="Times New Roman"/>
          <w:sz w:val="28"/>
        </w:rPr>
        <w:t xml:space="preserve"> «Что должен знать и уметь ребенок 4-5 лет», «Общение со сверстниками».</w:t>
      </w:r>
    </w:p>
    <w:p>
      <w:pPr>
        <w:tabs>
          <w:tab w:val="left" w:pos="993" w:leader="none"/>
        </w:tabs>
        <w:spacing w:after="0" w:beforeAutospacing="0" w:afterAutospacing="0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сентябре проведен утренник «Золотая осень», внутри детского сада дети активно участвовали. В честь дня отцов, сделали красочные подделки и подарили папам. Ко дню матери проведен спортивный конкурс, в котором приняли участие мамы с детьми, всех кто пришли разделили на две команды. В конце ноября приходили специалисты заповедника Азас и провели беседу про эндемиков заповедника Азас. В спортивном мероприятии «Ай Хурежи» мальчики нашей группы упорно боролись, один занял призовое место, один принял активное участие. В декабре готовились к сказочному празднику Новый год. Провели новогодний утренник «Новогодний переполох, или проделки Баба-Яги». </w:t>
      </w:r>
    </w:p>
    <w:p>
      <w:pPr>
        <w:tabs>
          <w:tab w:val="left" w:pos="993" w:leader="none"/>
        </w:tabs>
        <w:spacing w:after="0" w:beforeAutospacing="0" w:afterAutospacing="0"/>
        <w:ind w:firstLine="708"/>
        <w:jc w:val="both"/>
        <w:rPr>
          <w:rFonts w:ascii="Times New Roman" w:hAnsi="Times New Roman"/>
          <w:sz w:val="28"/>
        </w:rPr>
      </w:pPr>
    </w:p>
    <w:p>
      <w:pPr>
        <w:tabs>
          <w:tab w:val="left" w:pos="709" w:leader="none"/>
        </w:tabs>
        <w:spacing w:after="0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На второе полугодие 2023-2024 учебного года планируем следующие задачи: </w:t>
      </w:r>
    </w:p>
    <w:p>
      <w:pPr>
        <w:pStyle w:val="P1"/>
        <w:numPr>
          <w:ilvl w:val="0"/>
          <w:numId w:val="3"/>
        </w:numPr>
        <w:tabs>
          <w:tab w:val="left" w:pos="709" w:leader="none"/>
        </w:tabs>
        <w:jc w:val="both"/>
        <w:rPr>
          <w:sz w:val="28"/>
        </w:rPr>
      </w:pPr>
      <w:r>
        <w:rPr>
          <w:sz w:val="28"/>
        </w:rPr>
        <w:t xml:space="preserve">Продолжать проводить профилактические мероприятие с целью повышения посещаемости детей. </w:t>
      </w:r>
    </w:p>
    <w:p>
      <w:pPr>
        <w:pStyle w:val="P1"/>
        <w:numPr>
          <w:ilvl w:val="0"/>
          <w:numId w:val="3"/>
        </w:numPr>
        <w:tabs>
          <w:tab w:val="left" w:pos="709" w:leader="none"/>
        </w:tabs>
        <w:jc w:val="both"/>
        <w:rPr>
          <w:sz w:val="28"/>
        </w:rPr>
      </w:pPr>
      <w:r>
        <w:rPr>
          <w:sz w:val="28"/>
        </w:rPr>
        <w:t xml:space="preserve">Продолжать работу по всем образовательным областям. </w:t>
      </w:r>
    </w:p>
    <w:p>
      <w:pPr>
        <w:pStyle w:val="P1"/>
        <w:numPr>
          <w:ilvl w:val="0"/>
          <w:numId w:val="3"/>
        </w:numPr>
        <w:tabs>
          <w:tab w:val="left" w:pos="709" w:leader="none"/>
        </w:tabs>
        <w:jc w:val="both"/>
        <w:rPr>
          <w:sz w:val="28"/>
        </w:rPr>
      </w:pPr>
      <w:r>
        <w:rPr>
          <w:sz w:val="28"/>
        </w:rPr>
        <w:t>Продолжать воспитывать в детях творчество, активность…</w:t>
      </w:r>
    </w:p>
    <w:p>
      <w:pPr>
        <w:pStyle w:val="P1"/>
        <w:numPr>
          <w:ilvl w:val="0"/>
          <w:numId w:val="3"/>
        </w:numPr>
        <w:tabs>
          <w:tab w:val="left" w:pos="709" w:leader="none"/>
        </w:tabs>
        <w:jc w:val="both"/>
        <w:rPr>
          <w:sz w:val="28"/>
        </w:rPr>
      </w:pPr>
      <w:r>
        <w:rPr>
          <w:sz w:val="28"/>
        </w:rPr>
        <w:t xml:space="preserve">Продолжать работать над повышением уровня знания детей. </w:t>
      </w:r>
    </w:p>
    <w:p>
      <w:pPr>
        <w:pStyle w:val="P1"/>
        <w:tabs>
          <w:tab w:val="left" w:pos="709" w:leader="none"/>
        </w:tabs>
        <w:jc w:val="both"/>
        <w:rPr>
          <w:sz w:val="28"/>
        </w:rPr>
      </w:pPr>
    </w:p>
    <w:p>
      <w:pPr>
        <w:pStyle w:val="P1"/>
        <w:tabs>
          <w:tab w:val="left" w:pos="709" w:leader="none"/>
        </w:tabs>
        <w:rPr>
          <w:sz w:val="28"/>
        </w:rPr>
      </w:pPr>
      <w:r>
        <w:rPr>
          <w:sz w:val="28"/>
        </w:rPr>
        <w:t xml:space="preserve">                                Золотая осень</w:t>
      </w:r>
    </w:p>
    <w:p>
      <w:pPr>
        <w:pStyle w:val="P1"/>
        <w:tabs>
          <w:tab w:val="left" w:pos="709" w:leader="none"/>
        </w:tabs>
        <w:jc w:val="both"/>
        <w:rPr>
          <w:sz w:val="28"/>
        </w:rPr>
      </w:pPr>
    </w:p>
    <w:p>
      <w:pPr>
        <w:pStyle w:val="P1"/>
        <w:tabs>
          <w:tab w:val="left" w:pos="709" w:leader="none"/>
        </w:tabs>
        <w:ind w:left="-426"/>
        <w:jc w:val="both"/>
        <w:rPr>
          <w:sz w:val="28"/>
        </w:rPr>
      </w:pPr>
      <w:r>
        <w:drawing>
          <wp:inline xmlns:wp="http://schemas.openxmlformats.org/drawingml/2006/wordprocessingDrawing">
            <wp:extent cx="5937250" cy="426720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42672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tabs>
          <w:tab w:val="left" w:pos="709" w:leader="none"/>
        </w:tabs>
        <w:ind w:left="-426"/>
        <w:jc w:val="both"/>
        <w:rPr>
          <w:sz w:val="28"/>
        </w:rPr>
      </w:pPr>
    </w:p>
    <w:p>
      <w:pPr>
        <w:pStyle w:val="P1"/>
        <w:tabs>
          <w:tab w:val="left" w:pos="709" w:leader="none"/>
        </w:tabs>
        <w:ind w:left="-426"/>
        <w:jc w:val="both"/>
        <w:rPr>
          <w:sz w:val="28"/>
        </w:rPr>
      </w:pPr>
      <w:r>
        <w:drawing>
          <wp:inline xmlns:wp="http://schemas.openxmlformats.org/drawingml/2006/wordprocessingDrawing">
            <wp:extent cx="5937250" cy="4157345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41573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tabs>
          <w:tab w:val="left" w:pos="709" w:leader="none"/>
        </w:tabs>
        <w:ind w:left="-426"/>
        <w:jc w:val="both"/>
        <w:rPr>
          <w:sz w:val="28"/>
        </w:rPr>
      </w:pPr>
    </w:p>
    <w:p>
      <w:pPr>
        <w:pStyle w:val="P1"/>
        <w:tabs>
          <w:tab w:val="left" w:pos="709" w:leader="none"/>
        </w:tabs>
        <w:ind w:left="-426"/>
        <w:jc w:val="center"/>
        <w:rPr>
          <w:noProof w:val="1"/>
          <w:sz w:val="28"/>
        </w:rPr>
      </w:pPr>
      <w:r>
        <w:rPr>
          <w:sz w:val="28"/>
        </w:rPr>
        <w:t xml:space="preserve">День Отца </w:t>
      </w:r>
    </w:p>
    <w:p>
      <w:pPr>
        <w:pStyle w:val="P1"/>
        <w:tabs>
          <w:tab w:val="left" w:pos="709" w:leader="none"/>
        </w:tabs>
        <w:ind w:left="-426"/>
        <w:jc w:val="center"/>
        <w:rPr>
          <w:sz w:val="28"/>
        </w:rPr>
      </w:pPr>
      <w:r>
        <w:drawing>
          <wp:inline xmlns:wp="http://schemas.openxmlformats.org/drawingml/2006/wordprocessingDrawing">
            <wp:extent cx="5930265" cy="4035425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40354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tabs>
          <w:tab w:val="left" w:pos="709" w:leader="none"/>
        </w:tabs>
        <w:ind w:left="-426"/>
        <w:jc w:val="center"/>
        <w:rPr>
          <w:sz w:val="28"/>
        </w:rPr>
      </w:pPr>
    </w:p>
    <w:p>
      <w:pPr>
        <w:spacing w:after="0" w:beforeAutospacing="0" w:afterAutospacing="0"/>
        <w:rPr>
          <w:rFonts w:ascii="Times New Roman" w:hAnsi="Times New Roman"/>
          <w:sz w:val="28"/>
        </w:rPr>
      </w:pPr>
      <w:r>
        <w:drawing>
          <wp:inline xmlns:wp="http://schemas.openxmlformats.org/drawingml/2006/wordprocessingDrawing">
            <wp:extent cx="6063615" cy="41452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6063615" cy="41452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0" w:beforeAutospacing="0" w:afterAutospacing="0"/>
        <w:rPr>
          <w:rFonts w:ascii="Times New Roman" w:hAnsi="Times New Roman"/>
          <w:sz w:val="28"/>
        </w:rPr>
      </w:pPr>
    </w:p>
    <w:p>
      <w:pPr>
        <w:spacing w:after="0" w:beforeAutospacing="0" w:afterAutospacing="0"/>
        <w:rPr>
          <w:rFonts w:ascii="Times New Roman" w:hAnsi="Times New Roman"/>
          <w:sz w:val="28"/>
        </w:rPr>
      </w:pPr>
    </w:p>
    <w:p>
      <w:pPr>
        <w:spacing w:after="0" w:beforeAutospacing="0" w:afterAutospacing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День Матери</w:t>
      </w:r>
    </w:p>
    <w:p>
      <w:pPr>
        <w:spacing w:after="0" w:beforeAutospacing="0" w:afterAutospacing="0"/>
        <w:jc w:val="center"/>
        <w:rPr>
          <w:rFonts w:ascii="Times New Roman" w:hAnsi="Times New Roman"/>
          <w:sz w:val="28"/>
        </w:rPr>
      </w:pPr>
      <w:r>
        <w:drawing>
          <wp:inline xmlns:wp="http://schemas.openxmlformats.org/drawingml/2006/wordprocessingDrawing">
            <wp:extent cx="5940425" cy="445770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0" w:beforeAutospacing="0" w:afterAutospacing="0"/>
        <w:jc w:val="center"/>
        <w:rPr>
          <w:rFonts w:ascii="Times New Roman" w:hAnsi="Times New Roman"/>
          <w:sz w:val="28"/>
        </w:rPr>
      </w:pPr>
      <w:r>
        <w:drawing>
          <wp:inline xmlns:wp="http://schemas.openxmlformats.org/drawingml/2006/wordprocessingDrawing">
            <wp:extent cx="5940425" cy="445770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0" w:beforeAutospacing="0" w:afterAutospacing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Беседа «Эндемики заповедника Азас»</w:t>
      </w:r>
    </w:p>
    <w:p>
      <w:pPr>
        <w:spacing w:after="0" w:beforeAutospacing="0" w:afterAutospacing="0"/>
        <w:jc w:val="center"/>
        <w:rPr>
          <w:rFonts w:ascii="Times New Roman" w:hAnsi="Times New Roman"/>
          <w:sz w:val="28"/>
        </w:rPr>
      </w:pPr>
    </w:p>
    <w:p>
      <w:pPr>
        <w:jc w:val="both"/>
        <w:rPr>
          <w:rFonts w:ascii="Times New Roman" w:hAnsi="Times New Roman"/>
          <w:sz w:val="28"/>
        </w:rPr>
      </w:pPr>
      <w:r>
        <w:drawing>
          <wp:inline xmlns:wp="http://schemas.openxmlformats.org/drawingml/2006/wordprocessingDrawing">
            <wp:extent cx="5937250" cy="4047490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40474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sz w:val="28"/>
        </w:rPr>
      </w:pPr>
      <w:r>
        <w:drawing>
          <wp:inline xmlns:wp="http://schemas.openxmlformats.org/drawingml/2006/wordprocessingDrawing">
            <wp:extent cx="3425825" cy="456565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5825" cy="45656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Ай Хурежи </w:t>
      </w:r>
    </w:p>
    <w:p>
      <w:pPr>
        <w:jc w:val="center"/>
        <w:rPr>
          <w:rFonts w:ascii="Times New Roman" w:hAnsi="Times New Roman"/>
          <w:sz w:val="28"/>
        </w:rPr>
      </w:pPr>
      <w:r>
        <w:drawing>
          <wp:inline xmlns:wp="http://schemas.openxmlformats.org/drawingml/2006/wordprocessingDrawing">
            <wp:extent cx="3450590" cy="459803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450590" cy="45980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sz w:val="28"/>
        </w:rPr>
      </w:pPr>
      <w:r>
        <w:drawing>
          <wp:inline xmlns:wp="http://schemas.openxmlformats.org/drawingml/2006/wordprocessingDrawing">
            <wp:extent cx="2922905" cy="3895090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38950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Новый год </w:t>
      </w:r>
    </w:p>
    <w:p>
      <w:pPr>
        <w:jc w:val="center"/>
        <w:rPr>
          <w:rFonts w:ascii="Times New Roman" w:hAnsi="Times New Roman"/>
          <w:sz w:val="28"/>
        </w:rPr>
      </w:pPr>
      <w:r>
        <w:drawing>
          <wp:inline xmlns:wp="http://schemas.openxmlformats.org/drawingml/2006/wordprocessingDrawing">
            <wp:extent cx="5940425" cy="4457700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sz w:val="28"/>
        </w:rPr>
      </w:pPr>
      <w:r>
        <w:drawing>
          <wp:inline xmlns:wp="http://schemas.openxmlformats.org/drawingml/2006/wordprocessingDrawing">
            <wp:extent cx="5474970" cy="4108450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5474970" cy="41084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hAnsi="Times New Roman"/>
          <w:sz w:val="28"/>
        </w:rPr>
      </w:pPr>
    </w:p>
    <w:p>
      <w:pPr>
        <w:jc w:val="both"/>
        <w:rPr>
          <w:rFonts w:ascii="Times New Roman" w:hAnsi="Times New Roman"/>
          <w:sz w:val="28"/>
        </w:rPr>
      </w:pPr>
    </w:p>
    <w:sectPr>
      <w:type w:val="nextPage"/>
      <w:pgSz w:w="11906" w:h="16838" w:code="9"/>
      <w:pgMar w:left="1701" w:right="850" w:top="1134" w:bottom="1134" w:header="708" w:footer="708" w:gutter="0"/>
      <w:cols w:equalWidth="1" w:space="720"/>
    </w:sectPr>
  </w:body>
</w:document>
</file>

<file path=word/numbering.xml><?xml version="1.0" encoding="utf-8"?>
<w:numbering xmlns:w="http://schemas.openxmlformats.org/wordprocessingml/2006/main">
  <w:abstractNum w:abstractNumId="0">
    <w:nsid w:val="0A73218D"/>
    <w:multiLevelType w:val="hybridMultilevel"/>
    <w:lvl w:ilvl="0" w:tplc="0419000F">
      <w:start w:val="1"/>
      <w:numFmt w:val="decimal"/>
      <w:suff w:val="tab"/>
      <w:lvlText w:val="%1."/>
      <w:lvlJc w:val="left"/>
      <w:pPr>
        <w:ind w:hanging="360" w:left="720"/>
      </w:pPr>
      <w:rPr/>
    </w:lvl>
    <w:lvl w:ilvl="1" w:tplc="041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1">
    <w:nsid w:val="0DC43D00"/>
    <w:multiLevelType w:val="hybridMultilevel"/>
    <w:lvl w:ilvl="0" w:tplc="07EC56E4">
      <w:start w:val="1"/>
      <w:numFmt w:val="bullet"/>
      <w:suff w:val="tab"/>
      <w:lvlText w:val="•"/>
      <w:lvlJc w:val="left"/>
      <w:pPr>
        <w:ind w:hanging="360" w:left="720"/>
        <w:tabs>
          <w:tab w:val="left" w:pos="720" w:leader="none"/>
        </w:tabs>
      </w:pPr>
      <w:rPr>
        <w:rFonts w:ascii="Arial" w:hAnsi="Arial"/>
      </w:rPr>
    </w:lvl>
    <w:lvl w:ilvl="1" w:tplc="D70680E4">
      <w:start w:val="1"/>
      <w:numFmt w:val="bullet"/>
      <w:suff w:val="tab"/>
      <w:lvlText w:val="•"/>
      <w:lvlJc w:val="left"/>
      <w:pPr>
        <w:ind w:hanging="360" w:left="1440"/>
        <w:tabs>
          <w:tab w:val="left" w:pos="1440" w:leader="none"/>
        </w:tabs>
      </w:pPr>
      <w:rPr>
        <w:rFonts w:ascii="Arial" w:hAnsi="Arial"/>
      </w:rPr>
    </w:lvl>
    <w:lvl w:ilvl="2" w:tplc="324AB6A2">
      <w:start w:val="1"/>
      <w:numFmt w:val="bullet"/>
      <w:suff w:val="tab"/>
      <w:lvlText w:val="•"/>
      <w:lvlJc w:val="left"/>
      <w:pPr>
        <w:ind w:hanging="360" w:left="2160"/>
        <w:tabs>
          <w:tab w:val="left" w:pos="2160" w:leader="none"/>
        </w:tabs>
      </w:pPr>
      <w:rPr>
        <w:rFonts w:ascii="Arial" w:hAnsi="Arial"/>
      </w:rPr>
    </w:lvl>
    <w:lvl w:ilvl="3" w:tplc="F462D9A6">
      <w:start w:val="1"/>
      <w:numFmt w:val="bullet"/>
      <w:suff w:val="tab"/>
      <w:lvlText w:val="•"/>
      <w:lvlJc w:val="left"/>
      <w:pPr>
        <w:ind w:hanging="360" w:left="2880"/>
        <w:tabs>
          <w:tab w:val="left" w:pos="2880" w:leader="none"/>
        </w:tabs>
      </w:pPr>
      <w:rPr>
        <w:rFonts w:ascii="Arial" w:hAnsi="Arial"/>
      </w:rPr>
    </w:lvl>
    <w:lvl w:ilvl="4" w:tplc="65D87566">
      <w:start w:val="1"/>
      <w:numFmt w:val="bullet"/>
      <w:suff w:val="tab"/>
      <w:lvlText w:val="•"/>
      <w:lvlJc w:val="left"/>
      <w:pPr>
        <w:ind w:hanging="360" w:left="3600"/>
        <w:tabs>
          <w:tab w:val="left" w:pos="3600" w:leader="none"/>
        </w:tabs>
      </w:pPr>
      <w:rPr>
        <w:rFonts w:ascii="Arial" w:hAnsi="Arial"/>
      </w:rPr>
    </w:lvl>
    <w:lvl w:ilvl="5" w:tplc="38D21D02">
      <w:start w:val="1"/>
      <w:numFmt w:val="bullet"/>
      <w:suff w:val="tab"/>
      <w:lvlText w:val="•"/>
      <w:lvlJc w:val="left"/>
      <w:pPr>
        <w:ind w:hanging="360" w:left="4320"/>
        <w:tabs>
          <w:tab w:val="left" w:pos="4320" w:leader="none"/>
        </w:tabs>
      </w:pPr>
      <w:rPr>
        <w:rFonts w:ascii="Arial" w:hAnsi="Arial"/>
      </w:rPr>
    </w:lvl>
    <w:lvl w:ilvl="6" w:tplc="38B4DBA2">
      <w:start w:val="1"/>
      <w:numFmt w:val="bullet"/>
      <w:suff w:val="tab"/>
      <w:lvlText w:val="•"/>
      <w:lvlJc w:val="left"/>
      <w:pPr>
        <w:ind w:hanging="360" w:left="5040"/>
        <w:tabs>
          <w:tab w:val="left" w:pos="5040" w:leader="none"/>
        </w:tabs>
      </w:pPr>
      <w:rPr>
        <w:rFonts w:ascii="Arial" w:hAnsi="Arial"/>
      </w:rPr>
    </w:lvl>
    <w:lvl w:ilvl="7" w:tplc="7D548974">
      <w:start w:val="1"/>
      <w:numFmt w:val="bullet"/>
      <w:suff w:val="tab"/>
      <w:lvlText w:val="•"/>
      <w:lvlJc w:val="left"/>
      <w:pPr>
        <w:ind w:hanging="360" w:left="5760"/>
        <w:tabs>
          <w:tab w:val="left" w:pos="5760" w:leader="none"/>
        </w:tabs>
      </w:pPr>
      <w:rPr>
        <w:rFonts w:ascii="Arial" w:hAnsi="Arial"/>
      </w:rPr>
    </w:lvl>
    <w:lvl w:ilvl="8" w:tplc="9396764E">
      <w:start w:val="1"/>
      <w:numFmt w:val="bullet"/>
      <w:suff w:val="tab"/>
      <w:lvlText w:val="•"/>
      <w:lvlJc w:val="left"/>
      <w:pPr>
        <w:ind w:hanging="360" w:left="6480"/>
        <w:tabs>
          <w:tab w:val="left" w:pos="6480" w:leader="none"/>
        </w:tabs>
      </w:pPr>
      <w:rPr>
        <w:rFonts w:ascii="Arial" w:hAnsi="Arial"/>
      </w:rPr>
    </w:lvl>
  </w:abstractNum>
  <w:abstractNum w:abstractNumId="2">
    <w:nsid w:val="692D356E"/>
    <w:multiLevelType w:val="hybridMultilevel"/>
    <w:lvl w:ilvl="0" w:tplc="0419000F">
      <w:start w:val="1"/>
      <w:numFmt w:val="decimal"/>
      <w:suff w:val="tab"/>
      <w:lvlText w:val="%1."/>
      <w:lvlJc w:val="left"/>
      <w:pPr>
        <w:ind w:hanging="360" w:left="720"/>
      </w:pPr>
      <w:rPr/>
    </w:lvl>
    <w:lvl w:ilvl="1" w:tplc="041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/>
    <w:rPr/>
  </w:style>
  <w:style w:type="paragraph" w:styleId="P1">
    <w:name w:val="List Paragraph"/>
    <w:basedOn w:val="P0"/>
    <w:qFormat/>
    <w:pPr>
      <w:spacing w:lineRule="auto" w:line="240" w:after="0" w:beforeAutospacing="0" w:afterAutospacing="0"/>
      <w:ind w:left="720"/>
      <w:contextualSpacing w:val="1"/>
    </w:pPr>
    <w:rPr>
      <w:rFonts w:ascii="Times New Roman" w:hAnsi="Times New Roman"/>
      <w:sz w:val="24"/>
    </w:rPr>
  </w:style>
  <w:style w:type="paragraph" w:styleId="P2">
    <w:name w:val="Balloon Text"/>
    <w:basedOn w:val="P0"/>
    <w:link w:val="C5"/>
    <w:semiHidden/>
    <w:pPr>
      <w:spacing w:lineRule="auto" w:line="240" w:after="0" w:beforeAutospacing="0" w:afterAutospacing="0"/>
    </w:pPr>
    <w:rPr>
      <w:rFonts w:ascii="Tahoma" w:hAnsi="Tahoma"/>
      <w:sz w:val="16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line number"/>
    <w:basedOn w:val="C0"/>
    <w:semiHidden/>
    <w:rPr/>
  </w:style>
  <w:style w:type="character" w:styleId="C4">
    <w:name w:val="c2"/>
    <w:basedOn w:val="C0"/>
    <w:rPr/>
  </w:style>
  <w:style w:type="character" w:styleId="C5">
    <w:name w:val="Текст выноски Знак"/>
    <w:basedOn w:val="C0"/>
    <w:link w:val="P2"/>
    <w:semiHidden/>
    <w:rPr>
      <w:rFonts w:ascii="Tahoma" w:hAnsi="Tahoma"/>
      <w:sz w:val="16"/>
    </w:rPr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Ind w:w="0" w:type="dxa"/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<?xml version="1.0" encoding="utf-8"?><Relationships xmlns="http://schemas.openxmlformats.org/package/2006/relationships"><Relationship Id="Relimage6" Type="http://schemas.openxmlformats.org/officeDocument/2006/relationships/image" Target="/media/image6.jpg" /><Relationship Id="Relimage7" Type="http://schemas.openxmlformats.org/officeDocument/2006/relationships/image" Target="/media/image7.jpg" /><Relationship Id="Relimage3" Type="http://schemas.openxmlformats.org/officeDocument/2006/relationships/image" Target="/media/image3.jpg" /><Relationship Id="Relimage2" Type="http://schemas.openxmlformats.org/officeDocument/2006/relationships/image" Target="/media/image2.jpg" /><Relationship Id="Relimage4" Type="http://schemas.openxmlformats.org/officeDocument/2006/relationships/image" Target="/media/image4.jpg" /><Relationship Id="Relimage1" Type="http://schemas.openxmlformats.org/officeDocument/2006/relationships/image" Target="/media/image1.jpg" /><Relationship Id="Relimage8" Type="http://schemas.openxmlformats.org/officeDocument/2006/relationships/image" Target="/media/image8.jpg" /><Relationship Id="Relimage9" Type="http://schemas.openxmlformats.org/officeDocument/2006/relationships/image" Target="/media/image9.jpg" /><Relationship Id="Relimage10" Type="http://schemas.openxmlformats.org/officeDocument/2006/relationships/image" Target="/media/image10.jpg" /><Relationship Id="Relimage12" Type="http://schemas.openxmlformats.org/officeDocument/2006/relationships/image" Target="/media/image12.jpg" /><Relationship Id="Relimage5" Type="http://schemas.openxmlformats.org/officeDocument/2006/relationships/image" Target="/media/image5.jpg" /><Relationship Id="Relimage11" Type="http://schemas.openxmlformats.org/officeDocument/2006/relationships/image" Target="/media/image11.jp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